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64F" w:rsidRPr="008A364F" w:rsidRDefault="008A364F" w:rsidP="008A364F">
      <w:pPr>
        <w:spacing w:before="100" w:beforeAutospacing="1" w:after="100" w:afterAutospacing="1" w:line="240" w:lineRule="auto"/>
        <w:ind w:left="240" w:right="240"/>
        <w:rPr>
          <w:rFonts w:ascii="Times New Roman" w:eastAsia="Times New Roman" w:hAnsi="Times New Roman" w:cs="Times New Roman"/>
          <w:color w:val="444746"/>
          <w:sz w:val="24"/>
          <w:szCs w:val="24"/>
          <w:lang w:eastAsia="pl-PL"/>
        </w:rPr>
      </w:pPr>
      <w:bookmarkStart w:id="0" w:name="_GoBack"/>
      <w:bookmarkEnd w:id="0"/>
    </w:p>
    <w:p w:rsidR="008A364F" w:rsidRPr="008A364F" w:rsidRDefault="008A364F" w:rsidP="008A364F">
      <w:pPr>
        <w:shd w:val="clear" w:color="auto" w:fill="FFFFFF"/>
        <w:spacing w:before="420" w:after="120" w:line="420" w:lineRule="atLeast"/>
        <w:outlineLvl w:val="1"/>
        <w:rPr>
          <w:rFonts w:ascii="Arial" w:eastAsia="Times New Roman" w:hAnsi="Arial" w:cs="Arial"/>
          <w:b/>
          <w:bCs/>
          <w:color w:val="1B1C1D"/>
          <w:sz w:val="30"/>
          <w:szCs w:val="30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30"/>
          <w:szCs w:val="30"/>
          <w:lang w:eastAsia="pl-PL"/>
        </w:rPr>
        <w:t>Kompleksowe Wykonanie Bramy Technicznej wraz ze Śluzą na MOP Wiśniowa Góra Zachód</w:t>
      </w:r>
    </w:p>
    <w:p w:rsidR="008A364F" w:rsidRPr="008A364F" w:rsidRDefault="008A364F" w:rsidP="008A364F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Przedmiotem zamówienia jest kompleksowe wykonanie i montaż nowej infrastruktury dostępu technicznego, zgodnie z projektem (Rysunek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A-3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)  i opisem, dla lokalizacji: MOP Wiśniowa Góra Zachód nr 4407, 93-635 Łódź, ul. Kamieńca Podolskiego 10.</w:t>
      </w:r>
    </w:p>
    <w:p w:rsidR="008A364F" w:rsidRPr="008A364F" w:rsidRDefault="008A364F" w:rsidP="008A3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</w:p>
    <w:p w:rsidR="008A364F" w:rsidRPr="008A364F" w:rsidRDefault="008A364F" w:rsidP="008A364F">
      <w:pPr>
        <w:shd w:val="clear" w:color="auto" w:fill="FFFFFF"/>
        <w:spacing w:before="420" w:after="120" w:line="360" w:lineRule="atLeast"/>
        <w:outlineLvl w:val="2"/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 xml:space="preserve">1. Przedmiot Zamówienia </w:t>
      </w:r>
      <w:r w:rsidRPr="008A364F">
        <w:rPr>
          <w:rFonts w:ascii="Segoe UI Symbol" w:eastAsia="Times New Roman" w:hAnsi="Segoe UI Symbol" w:cs="Segoe UI Symbol"/>
          <w:b/>
          <w:bCs/>
          <w:color w:val="1B1C1D"/>
          <w:sz w:val="24"/>
          <w:szCs w:val="24"/>
          <w:lang w:eastAsia="pl-PL"/>
        </w:rPr>
        <w:t>📝</w:t>
      </w:r>
    </w:p>
    <w:p w:rsidR="008A364F" w:rsidRPr="008A364F" w:rsidRDefault="008A364F" w:rsidP="008A364F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Przedmiotem zamówienia jest kompleksowe wykonanie i montaż nowej infrastruktury dostępu technicznego, w tym:</w:t>
      </w:r>
    </w:p>
    <w:p w:rsidR="008A364F" w:rsidRPr="008A364F" w:rsidRDefault="008A364F" w:rsidP="008A364F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Wykonanie i montaż bramy technicznej wjazdowej,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dwuskrzydłowej, automatycznie rozwieranej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, wraz z niezbędną automatyką, sterowaniem i fundamentem.</w:t>
      </w:r>
    </w:p>
    <w:p w:rsidR="008A364F" w:rsidRPr="008A364F" w:rsidRDefault="008A364F" w:rsidP="008A364F">
      <w:pPr>
        <w:numPr>
          <w:ilvl w:val="1"/>
          <w:numId w:val="2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Wymiary bramy: szerokość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5,10m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, wysokość ok.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2,40m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.</w:t>
      </w:r>
    </w:p>
    <w:p w:rsidR="008A364F" w:rsidRPr="008A364F" w:rsidRDefault="008A364F" w:rsidP="008A364F">
      <w:pPr>
        <w:numPr>
          <w:ilvl w:val="1"/>
          <w:numId w:val="2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Konstrukcja: profile 80x80, wypełnienie panel kratowy typu Vega B, kolor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OCYNK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.</w:t>
      </w:r>
    </w:p>
    <w:p w:rsidR="008A364F" w:rsidRPr="008A364F" w:rsidRDefault="008A364F" w:rsidP="008A364F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Wykonanie i montaż śluzy wraz z dwiema furtkami o szerokości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1,50m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 i wysokości ok.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2.20-2.40m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, z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 xml:space="preserve">systemem kontroli dostępu typu </w:t>
      </w:r>
      <w:proofErr w:type="spellStart"/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Interlock</w:t>
      </w:r>
      <w:proofErr w:type="spellEnd"/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.</w:t>
      </w:r>
    </w:p>
    <w:p w:rsidR="008A364F" w:rsidRPr="008A364F" w:rsidRDefault="008A364F" w:rsidP="008A364F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Wykonanie robót ziemnych w zakresie skarpy ze wzmocnieniem oraz nawiązanie do istniejącego ogrodzenia MOP.</w:t>
      </w:r>
    </w:p>
    <w:p w:rsidR="008A364F" w:rsidRPr="008A364F" w:rsidRDefault="008A364F" w:rsidP="008A364F">
      <w:pPr>
        <w:numPr>
          <w:ilvl w:val="0"/>
          <w:numId w:val="2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Termin Realizacji: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Początek stycznia 2026 r.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(dokładny termin do potwierdzenia z Kierownikiem Budowy).</w:t>
      </w:r>
    </w:p>
    <w:p w:rsidR="008A364F" w:rsidRPr="008A364F" w:rsidRDefault="008A364F" w:rsidP="008A3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</w:p>
    <w:p w:rsidR="008A364F" w:rsidRPr="008A364F" w:rsidRDefault="008A364F" w:rsidP="008A364F">
      <w:pPr>
        <w:shd w:val="clear" w:color="auto" w:fill="FFFFFF"/>
        <w:spacing w:before="420" w:after="120" w:line="360" w:lineRule="atLeast"/>
        <w:outlineLvl w:val="2"/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 xml:space="preserve">2. Szczegółowy Zakres Robót i Wymagania Techniczne </w:t>
      </w:r>
      <w:r w:rsidRPr="008A364F">
        <w:rPr>
          <w:rFonts w:ascii="Segoe UI Symbol" w:eastAsia="Times New Roman" w:hAnsi="Segoe UI Symbol" w:cs="Segoe UI Symbol"/>
          <w:b/>
          <w:bCs/>
          <w:color w:val="1B1C1D"/>
          <w:sz w:val="24"/>
          <w:szCs w:val="24"/>
          <w:lang w:eastAsia="pl-PL"/>
        </w:rPr>
        <w:t>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️</w:t>
      </w:r>
    </w:p>
    <w:p w:rsidR="008A364F" w:rsidRPr="008A364F" w:rsidRDefault="008A364F" w:rsidP="008A364F">
      <w:pPr>
        <w:shd w:val="clear" w:color="auto" w:fill="FFFFFF"/>
        <w:spacing w:before="420" w:after="120" w:line="360" w:lineRule="atLeast"/>
        <w:outlineLvl w:val="3"/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 xml:space="preserve">A. Wymagania dotyczące Śluzy (System </w:t>
      </w:r>
      <w:proofErr w:type="spellStart"/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Interlock</w:t>
      </w:r>
      <w:proofErr w:type="spellEnd"/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)</w:t>
      </w:r>
    </w:p>
    <w:p w:rsidR="008A364F" w:rsidRPr="008A364F" w:rsidRDefault="008A364F" w:rsidP="008A364F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Śluza, wraz z dwoma furtkami, musi być wyposażona w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system czujników i elektrozamków do furtek uniemożliwiający otwarcie furtki bez zamknięcia drugiej furtki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, co realizuje zasadę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"Jedna Furtka Otwarta, Jedna Furtka Zamknięta"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.</w:t>
      </w:r>
    </w:p>
    <w:tbl>
      <w:tblPr>
        <w:tblW w:w="9724" w:type="dxa"/>
        <w:tblCellSpacing w:w="15" w:type="dxa"/>
        <w:shd w:val="clear" w:color="auto" w:fill="F0F4F9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2"/>
        <w:gridCol w:w="7482"/>
      </w:tblGrid>
      <w:tr w:rsidR="008A364F" w:rsidRPr="008A364F" w:rsidTr="008A364F">
        <w:trPr>
          <w:tblHeader/>
          <w:tblCellSpacing w:w="15" w:type="dxa"/>
        </w:trPr>
        <w:tc>
          <w:tcPr>
            <w:tcW w:w="0" w:type="auto"/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:rsidR="008A364F" w:rsidRPr="008A364F" w:rsidRDefault="008A364F" w:rsidP="008A364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A364F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Komponent</w:t>
            </w:r>
          </w:p>
        </w:tc>
        <w:tc>
          <w:tcPr>
            <w:tcW w:w="0" w:type="auto"/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:rsidR="008A364F" w:rsidRPr="008A364F" w:rsidRDefault="008A364F" w:rsidP="008A364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A364F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Funkcja i Specyfikacja</w:t>
            </w:r>
          </w:p>
        </w:tc>
      </w:tr>
      <w:tr w:rsidR="008A364F" w:rsidRPr="008A364F" w:rsidTr="008A364F">
        <w:trPr>
          <w:tblCellSpacing w:w="15" w:type="dxa"/>
        </w:trPr>
        <w:tc>
          <w:tcPr>
            <w:tcW w:w="0" w:type="auto"/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:rsidR="008A364F" w:rsidRPr="008A364F" w:rsidRDefault="008A364F" w:rsidP="008A364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A364F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Mechanizm Blokady</w:t>
            </w:r>
          </w:p>
        </w:tc>
        <w:tc>
          <w:tcPr>
            <w:tcW w:w="0" w:type="auto"/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:rsidR="008A364F" w:rsidRPr="008A364F" w:rsidRDefault="008A364F" w:rsidP="008A364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A364F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Zastosowanie </w:t>
            </w:r>
            <w:r w:rsidRPr="008A364F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systemu czujników i elektrozamków</w:t>
            </w:r>
            <w:r w:rsidRPr="008A364F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 (elektrycznych rygli) uniemożliwiającego otwarcie jednej furtki bez zamknięcia i zaryglowania drugiej furtki.</w:t>
            </w:r>
          </w:p>
        </w:tc>
      </w:tr>
      <w:tr w:rsidR="008A364F" w:rsidRPr="008A364F" w:rsidTr="008A364F">
        <w:trPr>
          <w:tblCellSpacing w:w="15" w:type="dxa"/>
        </w:trPr>
        <w:tc>
          <w:tcPr>
            <w:tcW w:w="0" w:type="auto"/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:rsidR="008A364F" w:rsidRPr="008A364F" w:rsidRDefault="008A364F" w:rsidP="008A364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A364F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Samozamykacze</w:t>
            </w:r>
          </w:p>
        </w:tc>
        <w:tc>
          <w:tcPr>
            <w:tcW w:w="0" w:type="auto"/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:rsidR="008A364F" w:rsidRPr="008A364F" w:rsidRDefault="008A364F" w:rsidP="008A364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A364F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Wymagane na furtkach, aby zapewnić samoczynne zamykanie się.</w:t>
            </w:r>
          </w:p>
        </w:tc>
      </w:tr>
      <w:tr w:rsidR="008A364F" w:rsidRPr="008A364F" w:rsidTr="008A364F">
        <w:trPr>
          <w:tblCellSpacing w:w="15" w:type="dxa"/>
        </w:trPr>
        <w:tc>
          <w:tcPr>
            <w:tcW w:w="0" w:type="auto"/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:rsidR="008A364F" w:rsidRPr="008A364F" w:rsidRDefault="008A364F" w:rsidP="008A364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A364F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lastRenderedPageBreak/>
              <w:t>Czujniki</w:t>
            </w:r>
          </w:p>
        </w:tc>
        <w:tc>
          <w:tcPr>
            <w:tcW w:w="0" w:type="auto"/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:rsidR="008A364F" w:rsidRPr="008A364F" w:rsidRDefault="008A364F" w:rsidP="008A364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A364F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Czujniki</w:t>
            </w:r>
            <w:r w:rsidRPr="008A364F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 (np. kontaktrony lub czujniki położenia rygla) potwierdzające, że furtka jest poprawnie zamknięta i zaryglowana.</w:t>
            </w:r>
          </w:p>
        </w:tc>
      </w:tr>
      <w:tr w:rsidR="008A364F" w:rsidRPr="008A364F" w:rsidTr="008A364F">
        <w:trPr>
          <w:tblCellSpacing w:w="15" w:type="dxa"/>
        </w:trPr>
        <w:tc>
          <w:tcPr>
            <w:tcW w:w="0" w:type="auto"/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:rsidR="008A364F" w:rsidRPr="008A364F" w:rsidRDefault="008A364F" w:rsidP="008A364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A364F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Sterowanie</w:t>
            </w:r>
          </w:p>
        </w:tc>
        <w:tc>
          <w:tcPr>
            <w:tcW w:w="0" w:type="auto"/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:rsidR="008A364F" w:rsidRPr="008A364F" w:rsidRDefault="008A364F" w:rsidP="008A364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A364F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Sterownik</w:t>
            </w:r>
            <w:r w:rsidRPr="008A364F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 (programowalny) jest mózgiem systemu, decydującym o blokadzie/odblokowaniu elektrozamków.</w:t>
            </w:r>
          </w:p>
        </w:tc>
      </w:tr>
      <w:tr w:rsidR="008A364F" w:rsidRPr="008A364F" w:rsidTr="008A364F">
        <w:trPr>
          <w:tblCellSpacing w:w="15" w:type="dxa"/>
        </w:trPr>
        <w:tc>
          <w:tcPr>
            <w:tcW w:w="0" w:type="auto"/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:rsidR="008A364F" w:rsidRPr="008A364F" w:rsidRDefault="008A364F" w:rsidP="008A364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A364F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Interfejs Użytkownika</w:t>
            </w:r>
          </w:p>
        </w:tc>
        <w:tc>
          <w:tcPr>
            <w:tcW w:w="0" w:type="auto"/>
            <w:shd w:val="clear" w:color="auto" w:fill="F8FAFD"/>
            <w:tcMar>
              <w:top w:w="120" w:type="dxa"/>
              <w:left w:w="180" w:type="dxa"/>
              <w:bottom w:w="120" w:type="dxa"/>
              <w:right w:w="180" w:type="dxa"/>
            </w:tcMar>
            <w:hideMark/>
          </w:tcPr>
          <w:p w:rsidR="008A364F" w:rsidRPr="008A364F" w:rsidRDefault="008A364F" w:rsidP="008A364F">
            <w:pPr>
              <w:spacing w:after="0" w:line="300" w:lineRule="atLeast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  <w:r w:rsidRPr="008A364F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Możliwość otwierania furtki </w:t>
            </w:r>
            <w:r w:rsidRPr="008A364F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na kod</w:t>
            </w:r>
            <w:r w:rsidRPr="008A364F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 i przez </w:t>
            </w:r>
            <w:proofErr w:type="spellStart"/>
            <w:r w:rsidRPr="008A364F">
              <w:rPr>
                <w:rFonts w:ascii="Arial" w:eastAsia="Times New Roman" w:hAnsi="Arial" w:cs="Arial"/>
                <w:b/>
                <w:bCs/>
                <w:sz w:val="21"/>
                <w:szCs w:val="21"/>
                <w:lang w:eastAsia="pl-PL"/>
              </w:rPr>
              <w:t>wideodomofon</w:t>
            </w:r>
            <w:proofErr w:type="spellEnd"/>
            <w:r w:rsidRPr="008A364F">
              <w:rPr>
                <w:rFonts w:ascii="Arial" w:eastAsia="Times New Roman" w:hAnsi="Arial" w:cs="Arial"/>
                <w:sz w:val="21"/>
                <w:szCs w:val="21"/>
                <w:lang w:eastAsia="pl-PL"/>
              </w:rPr>
              <w:t>. Furtki mają być otwierane osobno.</w:t>
            </w:r>
          </w:p>
        </w:tc>
      </w:tr>
    </w:tbl>
    <w:p w:rsidR="008A364F" w:rsidRPr="008A364F" w:rsidRDefault="008A364F" w:rsidP="008A364F">
      <w:pPr>
        <w:shd w:val="clear" w:color="auto" w:fill="FFFFFF"/>
        <w:spacing w:before="420" w:after="120" w:line="360" w:lineRule="atLeast"/>
        <w:outlineLvl w:val="3"/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B. Wymagania dotyczące Bramy i Automatyki</w:t>
      </w:r>
    </w:p>
    <w:p w:rsidR="008A364F" w:rsidRPr="008A364F" w:rsidRDefault="008A364F" w:rsidP="008A364F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Typ Bramy: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Brama techniczna projektowana jest jako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dwuskrzydłowa, automatycznie rozwierana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.</w:t>
      </w:r>
    </w:p>
    <w:p w:rsidR="008A364F" w:rsidRPr="008A364F" w:rsidRDefault="008A364F" w:rsidP="008A364F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Lokalizacja: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Brama jest projektowana w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północno-zachodniej części MOP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. Obok bramy zaprojektowano furtkę oraz przylegającą do ogrodzenia śluzę.</w:t>
      </w:r>
    </w:p>
    <w:p w:rsidR="008A364F" w:rsidRPr="008A364F" w:rsidRDefault="008A364F" w:rsidP="008A364F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Fundamentowanie: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Wykonanie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fundamentu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do bramy.</w:t>
      </w:r>
    </w:p>
    <w:p w:rsidR="008A364F" w:rsidRPr="008A364F" w:rsidRDefault="008A364F" w:rsidP="008A364F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Instalacje Teletechniczne: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Do bramy i śluzy doprowadzone zostaną instalacje elektryczne i teletechniczne -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 xml:space="preserve">oświetlenie, sterowanie bramą, </w:t>
      </w:r>
      <w:proofErr w:type="spellStart"/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wideodomofon</w:t>
      </w:r>
      <w:proofErr w:type="spellEnd"/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.</w:t>
      </w:r>
    </w:p>
    <w:p w:rsidR="008A364F" w:rsidRPr="008A364F" w:rsidRDefault="008A364F" w:rsidP="008A364F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 xml:space="preserve">Wyposażenie </w:t>
      </w:r>
      <w:proofErr w:type="spellStart"/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Wideodomofonu</w:t>
      </w:r>
      <w:proofErr w:type="spellEnd"/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</w:t>
      </w:r>
      <w:proofErr w:type="spellStart"/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Wideodomofon</w:t>
      </w:r>
      <w:proofErr w:type="spellEnd"/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 xml:space="preserve"> – doprowadzony do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pokoju kierownika i do zaplecza kasowego w pawilonie stacji paliw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.</w:t>
      </w:r>
    </w:p>
    <w:p w:rsidR="008A364F" w:rsidRPr="008A364F" w:rsidRDefault="008A364F" w:rsidP="008A364F">
      <w:pPr>
        <w:numPr>
          <w:ilvl w:val="1"/>
          <w:numId w:val="3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Wymagane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2 zestawy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</w:t>
      </w:r>
      <w:proofErr w:type="spellStart"/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wideodomofonu</w:t>
      </w:r>
      <w:proofErr w:type="spellEnd"/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 xml:space="preserve"> (w kierunku stacji paliw).</w:t>
      </w:r>
    </w:p>
    <w:p w:rsidR="008A364F" w:rsidRPr="008A364F" w:rsidRDefault="008A364F" w:rsidP="008A364F">
      <w:pPr>
        <w:numPr>
          <w:ilvl w:val="1"/>
          <w:numId w:val="3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Odbiorniki domofonu (panele zasilające bez słuchawkowe w kolorze czarnym) mają być zlokalizowane w dwóch miejscach na stacji.</w:t>
      </w:r>
    </w:p>
    <w:p w:rsidR="008A364F" w:rsidRPr="008A364F" w:rsidRDefault="008A364F" w:rsidP="008A364F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Sterowanie i Dostępy: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Możliwość otwierania bramy i furtki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na kod i piloty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. Wymagane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30 pilotów do bramy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.</w:t>
      </w:r>
    </w:p>
    <w:p w:rsidR="008A364F" w:rsidRPr="008A364F" w:rsidRDefault="008A364F" w:rsidP="008A364F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Bezpieczeństwo: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Doprowadzenie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fotokomórek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i systemu czujników. Montaż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sterownika SOS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(otwierającego bramę automatycznie po sygnale alarmowym pojazdów uprzywilejowanych).</w:t>
      </w:r>
    </w:p>
    <w:p w:rsidR="008A364F" w:rsidRPr="008A364F" w:rsidRDefault="008A364F" w:rsidP="008A364F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Instalacja Elektryczna: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Miejsce, gdzie znajduje się sterownik wraz z automatyką, musi odpowiadać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klasie szczelności IP44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. Doprowadzenie zasilania i sterowania jest po stronie zleceniodawcy.</w:t>
      </w:r>
    </w:p>
    <w:p w:rsidR="008A364F" w:rsidRPr="008A364F" w:rsidRDefault="008A364F" w:rsidP="008A364F">
      <w:pPr>
        <w:shd w:val="clear" w:color="auto" w:fill="FFFFFF"/>
        <w:spacing w:before="420" w:after="120" w:line="360" w:lineRule="atLeast"/>
        <w:outlineLvl w:val="3"/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C. Roboty Ziemne i Porządkowe</w:t>
      </w:r>
    </w:p>
    <w:p w:rsidR="008A364F" w:rsidRPr="008A364F" w:rsidRDefault="008A364F" w:rsidP="008A364F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Skarpa: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Należy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wykonać skarpę o spadku 1:2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.</w:t>
      </w:r>
    </w:p>
    <w:p w:rsidR="008A364F" w:rsidRPr="008A364F" w:rsidRDefault="008A364F" w:rsidP="008A364F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Wzmocnienie Skarpy: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Wzmocnienie ma zostać wykonane np. za pomocą </w:t>
      </w:r>
      <w:proofErr w:type="spellStart"/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geokraty</w:t>
      </w:r>
      <w:proofErr w:type="spellEnd"/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 xml:space="preserve"> komórkowej o wysokości 5cm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. Planowana różnica poziomów (</w:t>
      </w:r>
      <w:proofErr w:type="spellStart"/>
      <w:r w:rsidRPr="008A364F">
        <w:rPr>
          <w:rFonts w:ascii="Times New Roman" w:eastAsia="Times New Roman" w:hAnsi="Times New Roman" w:cs="Times New Roman"/>
          <w:color w:val="1B1C1D"/>
          <w:sz w:val="29"/>
          <w:szCs w:val="29"/>
          <w:lang w:eastAsia="pl-PL"/>
        </w:rPr>
        <w:t>Δ</w:t>
      </w:r>
      <w:r w:rsidRPr="008A364F">
        <w:rPr>
          <w:rFonts w:ascii="KaTeX_Math" w:eastAsia="Times New Roman" w:hAnsi="KaTeX_Math" w:cs="Times New Roman"/>
          <w:i/>
          <w:iCs/>
          <w:color w:val="1B1C1D"/>
          <w:sz w:val="29"/>
          <w:szCs w:val="29"/>
          <w:lang w:eastAsia="pl-PL"/>
        </w:rPr>
        <w:t>h</w:t>
      </w:r>
      <w:proofErr w:type="spellEnd"/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) wynosi około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130 cm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(</w:t>
      </w:r>
      <w:r w:rsidRPr="008A364F">
        <w:rPr>
          <w:rFonts w:ascii="Times New Roman" w:eastAsia="Times New Roman" w:hAnsi="Times New Roman" w:cs="Times New Roman"/>
          <w:color w:val="1B1C1D"/>
          <w:sz w:val="29"/>
          <w:szCs w:val="29"/>
          <w:lang w:eastAsia="pl-PL"/>
        </w:rPr>
        <w:t>Δ</w:t>
      </w:r>
      <w:r w:rsidRPr="008A364F">
        <w:rPr>
          <w:rFonts w:ascii="KaTeX_Math" w:eastAsia="Times New Roman" w:hAnsi="KaTeX_Math" w:cs="Times New Roman"/>
          <w:i/>
          <w:iCs/>
          <w:color w:val="1B1C1D"/>
          <w:sz w:val="29"/>
          <w:szCs w:val="29"/>
          <w:lang w:eastAsia="pl-PL"/>
        </w:rPr>
        <w:t>h</w:t>
      </w:r>
      <w:r w:rsidRPr="008A364F">
        <w:rPr>
          <w:rFonts w:ascii="Times New Roman" w:eastAsia="Times New Roman" w:hAnsi="Times New Roman" w:cs="Times New Roman"/>
          <w:color w:val="1B1C1D"/>
          <w:sz w:val="29"/>
          <w:szCs w:val="29"/>
          <w:lang w:eastAsia="pl-PL"/>
        </w:rPr>
        <w:t>≈130</w:t>
      </w:r>
      <w:r w:rsidRPr="008A364F">
        <w:rPr>
          <w:rFonts w:ascii="KaTeX_Math" w:eastAsia="Times New Roman" w:hAnsi="KaTeX_Math" w:cs="Times New Roman"/>
          <w:i/>
          <w:iCs/>
          <w:color w:val="1B1C1D"/>
          <w:sz w:val="29"/>
          <w:szCs w:val="29"/>
          <w:lang w:eastAsia="pl-PL"/>
        </w:rPr>
        <w:t>cm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).</w:t>
      </w:r>
    </w:p>
    <w:p w:rsidR="008A364F" w:rsidRPr="008A364F" w:rsidRDefault="008A364F" w:rsidP="008A364F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Nawiązanie do Ogrodzenia: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Należy dołączyć do istniejącego ogrodzenia autostradowego MOP.</w:t>
      </w:r>
    </w:p>
    <w:p w:rsidR="008A364F" w:rsidRPr="008A364F" w:rsidRDefault="008A364F" w:rsidP="008A364F">
      <w:pPr>
        <w:numPr>
          <w:ilvl w:val="0"/>
          <w:numId w:val="4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lastRenderedPageBreak/>
        <w:t>Demontaż: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Demontaż istniejącej bramy oraz jej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zwrot do oddziału GDDKIA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.</w:t>
      </w:r>
    </w:p>
    <w:p w:rsidR="008A364F" w:rsidRPr="008A364F" w:rsidRDefault="008A364F" w:rsidP="008A364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</w:p>
    <w:p w:rsidR="008A364F" w:rsidRPr="008A364F" w:rsidRDefault="008A364F" w:rsidP="008A364F">
      <w:pPr>
        <w:shd w:val="clear" w:color="auto" w:fill="FFFFFF"/>
        <w:spacing w:before="420" w:after="120" w:line="360" w:lineRule="atLeast"/>
        <w:outlineLvl w:val="2"/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 xml:space="preserve">3. Procedura Realizacji i Warunki Oferty </w:t>
      </w:r>
      <w:r w:rsidRPr="008A364F">
        <w:rPr>
          <w:rFonts w:ascii="Segoe UI Symbol" w:eastAsia="Times New Roman" w:hAnsi="Segoe UI Symbol" w:cs="Segoe UI Symbol"/>
          <w:b/>
          <w:bCs/>
          <w:color w:val="1B1C1D"/>
          <w:sz w:val="24"/>
          <w:szCs w:val="24"/>
          <w:lang w:eastAsia="pl-PL"/>
        </w:rPr>
        <w:t>📄</w:t>
      </w:r>
    </w:p>
    <w:p w:rsidR="008A364F" w:rsidRPr="008A364F" w:rsidRDefault="008A364F" w:rsidP="008A364F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Wizja Lokalna: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Do złożenia oferty konieczne jest dokonanie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wizji i obmiarów na terenie budowy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.</w:t>
      </w:r>
    </w:p>
    <w:p w:rsidR="008A364F" w:rsidRPr="008A364F" w:rsidRDefault="008A364F" w:rsidP="008A364F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Uruchomienie i Szkolenie: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W ofercie należy uwzględnić uruchomienie systemu oraz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szkolenia w zakresie obsługi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.</w:t>
      </w:r>
    </w:p>
    <w:p w:rsidR="008A364F" w:rsidRPr="008A364F" w:rsidRDefault="008A364F" w:rsidP="008A364F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Dokumentacja: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Wykonanie zgodne z załączonym projektem  oraz dostarczenie dokumentacji powykonawczej w dwóch wersjach, papierowej i elektronicznej.</w:t>
      </w:r>
    </w:p>
    <w:p w:rsidR="008A364F" w:rsidRPr="008A364F" w:rsidRDefault="008A364F" w:rsidP="008A364F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Wycena: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Oferta powinna uwzględniać wszystkie niezbędne materiały, sprzęt oraz usługi.</w:t>
      </w:r>
    </w:p>
    <w:p w:rsidR="008A364F" w:rsidRPr="008A364F" w:rsidRDefault="008A364F" w:rsidP="008A364F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rPr>
          <w:rFonts w:ascii="Arial" w:eastAsia="Times New Roman" w:hAnsi="Arial" w:cs="Arial"/>
          <w:color w:val="1B1C1D"/>
          <w:sz w:val="24"/>
          <w:szCs w:val="24"/>
          <w:lang w:eastAsia="pl-PL"/>
        </w:rPr>
      </w:pP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Termin: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Realizacja ma rozpocząć się na </w:t>
      </w:r>
      <w:r w:rsidRPr="008A364F">
        <w:rPr>
          <w:rFonts w:ascii="Arial" w:eastAsia="Times New Roman" w:hAnsi="Arial" w:cs="Arial"/>
          <w:b/>
          <w:bCs/>
          <w:color w:val="1B1C1D"/>
          <w:sz w:val="24"/>
          <w:szCs w:val="24"/>
          <w:lang w:eastAsia="pl-PL"/>
        </w:rPr>
        <w:t>początku stycznia 2026 r.</w:t>
      </w:r>
      <w:r w:rsidRPr="008A364F">
        <w:rPr>
          <w:rFonts w:ascii="Arial" w:eastAsia="Times New Roman" w:hAnsi="Arial" w:cs="Arial"/>
          <w:color w:val="1B1C1D"/>
          <w:sz w:val="24"/>
          <w:szCs w:val="24"/>
          <w:lang w:eastAsia="pl-PL"/>
        </w:rPr>
        <w:t> (do potwierdzenia z Kierownikiem Budowy).</w:t>
      </w:r>
    </w:p>
    <w:p w:rsidR="00E1587B" w:rsidRDefault="00E1587B"/>
    <w:sectPr w:rsidR="00E15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KaTeX_Mat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5748"/>
    <w:multiLevelType w:val="multilevel"/>
    <w:tmpl w:val="77C4F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F61442"/>
    <w:multiLevelType w:val="multilevel"/>
    <w:tmpl w:val="9A264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F10594"/>
    <w:multiLevelType w:val="multilevel"/>
    <w:tmpl w:val="5470E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4F6777"/>
    <w:multiLevelType w:val="multilevel"/>
    <w:tmpl w:val="2070A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9A825AC"/>
    <w:multiLevelType w:val="multilevel"/>
    <w:tmpl w:val="E1CCC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64F"/>
    <w:rsid w:val="008A364F"/>
    <w:rsid w:val="00E1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A2C26"/>
  <w15:chartTrackingRefBased/>
  <w15:docId w15:val="{ECFD77B4-7681-4102-977A-21E142400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8A364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A36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8A364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A364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64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64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A36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itation-470">
    <w:name w:val="citation-470"/>
    <w:basedOn w:val="Domylnaczcionkaakapitu"/>
    <w:rsid w:val="008A364F"/>
  </w:style>
  <w:style w:type="character" w:customStyle="1" w:styleId="citation-469">
    <w:name w:val="citation-469"/>
    <w:basedOn w:val="Domylnaczcionkaakapitu"/>
    <w:rsid w:val="008A364F"/>
  </w:style>
  <w:style w:type="character" w:customStyle="1" w:styleId="citation-468">
    <w:name w:val="citation-468"/>
    <w:basedOn w:val="Domylnaczcionkaakapitu"/>
    <w:rsid w:val="008A364F"/>
  </w:style>
  <w:style w:type="character" w:customStyle="1" w:styleId="citation-467">
    <w:name w:val="citation-467"/>
    <w:basedOn w:val="Domylnaczcionkaakapitu"/>
    <w:rsid w:val="008A364F"/>
  </w:style>
  <w:style w:type="character" w:customStyle="1" w:styleId="citation-466">
    <w:name w:val="citation-466"/>
    <w:basedOn w:val="Domylnaczcionkaakapitu"/>
    <w:rsid w:val="008A364F"/>
  </w:style>
  <w:style w:type="character" w:customStyle="1" w:styleId="citation-465">
    <w:name w:val="citation-465"/>
    <w:basedOn w:val="Domylnaczcionkaakapitu"/>
    <w:rsid w:val="008A364F"/>
  </w:style>
  <w:style w:type="character" w:customStyle="1" w:styleId="citation-464">
    <w:name w:val="citation-464"/>
    <w:basedOn w:val="Domylnaczcionkaakapitu"/>
    <w:rsid w:val="008A364F"/>
  </w:style>
  <w:style w:type="character" w:customStyle="1" w:styleId="citation-463">
    <w:name w:val="citation-463"/>
    <w:basedOn w:val="Domylnaczcionkaakapitu"/>
    <w:rsid w:val="008A364F"/>
  </w:style>
  <w:style w:type="character" w:customStyle="1" w:styleId="citation-462">
    <w:name w:val="citation-462"/>
    <w:basedOn w:val="Domylnaczcionkaakapitu"/>
    <w:rsid w:val="008A364F"/>
  </w:style>
  <w:style w:type="character" w:customStyle="1" w:styleId="citation-461">
    <w:name w:val="citation-461"/>
    <w:basedOn w:val="Domylnaczcionkaakapitu"/>
    <w:rsid w:val="008A364F"/>
  </w:style>
  <w:style w:type="character" w:customStyle="1" w:styleId="citation-460">
    <w:name w:val="citation-460"/>
    <w:basedOn w:val="Domylnaczcionkaakapitu"/>
    <w:rsid w:val="008A364F"/>
  </w:style>
  <w:style w:type="character" w:customStyle="1" w:styleId="citation-459">
    <w:name w:val="citation-459"/>
    <w:basedOn w:val="Domylnaczcionkaakapitu"/>
    <w:rsid w:val="008A3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9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6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6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41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2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34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1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Ożóg Lidia (BUD)</dc:creator>
  <cp:keywords/>
  <dc:description/>
  <cp:lastModifiedBy>Ożóg Lidia (BUD)</cp:lastModifiedBy>
  <cp:revision>1</cp:revision>
  <dcterms:created xsi:type="dcterms:W3CDTF">2025-10-24T08:19:00Z</dcterms:created>
  <dcterms:modified xsi:type="dcterms:W3CDTF">2025-10-24T08:20:00Z</dcterms:modified>
</cp:coreProperties>
</file>